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62</w:t>
      </w:r>
    </w:p>
    <w:p>
      <w:r>
        <w:t>Bundesgericht (BGE), 1985-05-22, FR</w:t>
      </w:r>
    </w:p>
    <w:p>
      <w:r>
        <w:rPr>
          <w:b/>
        </w:rPr>
        <w:t xml:space="preserve">Quelle: </w:t>
      </w:r>
      <w:r>
        <w:t>https://mcp.opencaselaw.ch/entscheid/bge_111 II 62</w:t>
      </w:r>
    </w:p>
    <w:p>
      <w:r>
        <w:t>FR: ATF 111 II 62</w:t>
      </w:r>
    </w:p>
    <w:p>
      <w:r>
        <w:t>IT: DTF 111 II 62</w:t>
      </w:r>
    </w:p>
    <w:p>
      <w:pPr>
        <w:pStyle w:val="Heading2"/>
      </w:pPr>
      <w:r>
        <w:t>Regeste</w:t>
      </w:r>
    </w:p>
    <w:p>
      <w:r>
        <w:t>Regeste New Yorker Übereinkommen vom 10. Juni 1985 über die Anerkennung und Vollstreckung ausländischer Schiedssprüche. Einrede der Unzuständigkeit der ordentlichen Gerichte. Art. II Abs. 3 des New Yorker Übereinkommens verleiht den an der Schiedsvereinbarung beteiligten Parteien nur das Recht, sich auf das Übereinkommen zu berufen, um die Zuständigkeit des ordentlichen Richters abzulehnen; die in dieser Hinsicht zu beachtenden Verfahrensvorschriften werden dagegen vom internen Recht jedes Vertragsstaates bestimmt (E. 2). Art. 2 ZGB, Art. 43 OG. Beziehen sich das Verbot des Rechtsmissbrauchs und das Gebot, gemäss Treu und Glauben zu handeln, auf Rechtsgebiete, die nicht dem Bundesrecht unterworfen sind, so handelt es sich dabei nicht um Regeln des Bundesrechts, die im Berufungsverfahren angerufen werden können (E. 3).</w:t>
      </w:r>
    </w:p>
    <w:p>
      <w:pPr>
        <w:pStyle w:val="Heading2"/>
      </w:pPr>
      <w:r>
        <w:t>Erwägungen</w:t>
      </w:r>
    </w:p>
    <w:p>
      <w:r>
        <w:rPr>
          <w:b/>
        </w:rPr>
        <w:t>E. 1</w:t>
      </w:r>
    </w:p>
    <w:p>
      <w:r>
        <w:t>L'arrêt attaqué est une décision préjudicielle relative à la compétence, rendue dans une cause civile dont la valeur litigieuse atteint au moins 8'000 francs. Le recours en réforme pour violation d'une règle de droit fédéral relative à la compétence matérielle est dès lors ouvert ( art. 49 OJ ). BGE 111 II 62 S. 65</w:t>
      </w:r>
    </w:p>
    <w:p>
      <w:r>
        <w:rPr>
          <w:b/>
        </w:rPr>
        <w:t>E. 2</w:t>
      </w:r>
    </w:p>
    <w:p>
      <w:r>
        <w:t>La France et la Suisse sont parties à la Convention dite de New York pour la reconnaissance et l'exécution des sentences arbitrales étrangères du 10 juin 1958 (RS 0.277.12; ci-après: la Convention), applicable en l'espèce. Selon l'art. II al. 3 de cette convention: Le Tribunal d'un Etat contractant, saisi d'un litige sur une question au sujet de laquelle les parties ont conclu une convention au sens du présent article, renverra les parties à l'arbitrage, à la demande de l'une d'elles, à moins qu'il ne constate que ladite convention est caduque, inopérante ou non susceptible d'être appliquée. La recourante propose que l'expression "à la demande de l'une d'elles" soit interprétée en ce sens que le juge serait obligé de prendre en considération une telle demande, quel que soit le moment où elle a été présentée en cours de procès; selon elle, si ce sens ne résultait pas déjà de l'interprétation de cette disposition, il faudrait y voir une lacune de la loi, que le juge devrait combler dans le sens désiré. Toutefois, l'analyse de la disposition invoquée ne permet pas de suivre la thèse avancée par la recourante. En effet, ladite disposition ne régit pas les formes de la procédure à suivre devant le juge ordinaire; elle accorde seulement aux parties à la convention d'arbitrage le droit de se prévaloir de celle-ci pour décliner la compétence du juge ordinaire. En l'absence de toute obligation imposée aux parties contractantes, le texte de la Convention ne limite point leur faculté de légiférer quant aux formes à respecter à ce sujet. Contraire au texte et au système de la Convention, l'interprétation proposée irait aussi à l'encontre de son but. En effet, eu égard au fait que la Convention tend à faciliter la solution des différends par la voie de l'arbitrage ( ATF 110 II 59 ), il est conforme à l'économie de la procédure que le problème de la compétence soit réglé d'entrée de cause, que s'il y a lieu les parties soient rapidement renvoyées à agir devant la juridiction arbitrale et qu'un déclinatoire tardif ne puisse être utilisé comme procédé dilatoire; aussi ne saurait-on raisonnablement interpréter la Convention dans le sens qu'elle empêcherait les Etats contractants d'exiger que le déclinatoire soit présenté d'entrée de cause. Rien ne permet non plus de penser que ces derniers auraient pu désirer une telle limitation; l'art. II de la Convention de New York a du reste repris sur ce point la règle figurant à l'art. 4 du Protocole relatif aux clauses arbitrales adopté à Genève le 24 septembre 1923 (cf. FF 1964 II p. 631; également ATF 110 II 57 ). BGE 111 II 62 S. 66 Par ailleurs, en droit interne des Etats signataires, l'exigence d'un déclinatoire présenté d'entrée de cause est largement répandue (cf. par exemple des règles dans ce sens, valables à l'époque ou ayant remplacé des règles équivalentes: en Suisse, RÜEDE/HADENFELDT, Schweizerisches Schiedsgerichtsrecht, p. 67 et références; en France, RENÉ DAVID, L'arbitrage dans le commerce international, p. 295, 298, JEAN ROBERT, L'arbitrage, droit interne, droit international privé, p. 103; en République fédérale d'Allemagne, SCHWAB, Schiedsgerichtsbarkeit, Kommentar, 3e éd., p. 41 ss; concernant les Etats européens, FOUCHARD, L'arbitrage commercial international, p. 128 ss). La même règle a d'ailleurs trouvé ultérieurement son expression à l'art. VI al. 1 de la Convention européenne sur l'arbitrage commercial international conclue à Genève le 21 avril 1961 (cf. DAVID, op.cit., p. 300 et 596), à laquelle ont adhéré des Etats également signataires de la Convention de New York. Cela montre clairement que ces Etats considéraient eux aussi que cette question n'était point régie dans un autre sens par la Convention de New York. Du reste, les auteurs qui se sont prononcés sur la question considèrent également qu'au regard de l'art. II al. 3 de la Convention de New York, la forme de l'exception d'incompétence n'est pas régie par la Convention mais par la lex fori (SCHWAB, op.cit., p. 356, VAN DEN BERG, The New York Arbitration Convention of 1958, p. 137 ss spéc. p. 138/9, FOUCHARD, op.cit., p. 128, BERTHEAU, Das New-Yorker Abkommen vom 10. Juni 1958 über die Anerkennung und Vollstreckung ausländischer Schiedsprüche, thèse Zurich 1964, p. 37, SCHLOSSER, Das Recht der internationalen privaten Schiedsgerichtsbarkeit, vol. I, p. 383). En appliquant le droit cantonal de procédure à la question de savoir jusqu'à quand le déclinatoire était recevable, l'autorité cantonale et, avant elle, le premier juge n'ont donc pas violé le droit fédéral.</w:t>
      </w:r>
    </w:p>
    <w:p>
      <w:r>
        <w:rPr>
          <w:b/>
        </w:rPr>
        <w:t>E. 3</w:t>
      </w:r>
    </w:p>
    <w:p>
      <w:r>
        <w:t>La recourante fait également grief à l'autorité cantonale d'avoir violé l' art. 2 CC en ne sanctionnant pas l'abus de droit qu'aurait commis l'intimée dans l'accomplissement d'actes de procédure. Toutefois, le recours en réforme n'est ouvert que pour la violation du droit fédéral ( art. 43 ss OJ ). Si, certes, l' art. 2 CC est l'expression d'un principe général du droit, s'appliquant par exemple également en procédure (cf. ATF 96 II 169 , ATF 84 I 62 , ATF 83 II 348 ss), l'interdiction de l'abus de droit et le devoir d'agir conformément aux règles de la bonne foi ne sont pas des BGE 111 II 62 S. 67 règles de droit fédéral - pouvant être invoquées au moyen du recours en réforme - lorsqu'ils s'appliquent à des disciplines ne relevant pas du droit fédéral (cf. ATF 83 II 351 ). Or, c'est bien à propos de l'application de règles de procédure cantonale que la recourante invoque l'abus de droit de l'autorité cantonale. Le grief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